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ABB0F">
      <w:pPr>
        <w:jc w:val="center"/>
        <w:rPr>
          <w:rFonts w:hint="default" w:ascii="微软雅黑" w:hAnsi="微软雅黑" w:eastAsia="微软雅黑" w:cs="微软雅黑"/>
          <w:b/>
          <w:bCs/>
          <w:sz w:val="36"/>
          <w:szCs w:val="44"/>
          <w:lang w:val="en-US" w:eastAsia="zh-CN"/>
        </w:rPr>
      </w:pPr>
      <w:r>
        <w:rPr>
          <w:rFonts w:hint="eastAsia" w:ascii="微软雅黑" w:hAnsi="微软雅黑" w:eastAsia="微软雅黑" w:cs="微软雅黑"/>
          <w:b/>
          <w:bCs/>
          <w:sz w:val="36"/>
          <w:szCs w:val="44"/>
          <w:lang w:val="en-US" w:eastAsia="zh-CN"/>
        </w:rPr>
        <w:t>立达信LED护眼灯需求清单</w:t>
      </w:r>
    </w:p>
    <w:tbl>
      <w:tblPr>
        <w:tblStyle w:val="4"/>
        <w:tblW w:w="9945" w:type="dxa"/>
        <w:tblInd w:w="-57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60"/>
        <w:gridCol w:w="1020"/>
        <w:gridCol w:w="5850"/>
        <w:gridCol w:w="795"/>
        <w:gridCol w:w="720"/>
        <w:gridCol w:w="900"/>
      </w:tblGrid>
      <w:tr w14:paraId="1D0A5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9F513A4">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序号</w:t>
            </w:r>
          </w:p>
        </w:tc>
        <w:tc>
          <w:tcPr>
            <w:tcW w:w="10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BC2AD8F">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产品名称</w:t>
            </w:r>
          </w:p>
        </w:tc>
        <w:tc>
          <w:tcPr>
            <w:tcW w:w="58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B4488F2">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技术参数及要求</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B9BB734">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数量</w:t>
            </w:r>
          </w:p>
        </w:tc>
        <w:tc>
          <w:tcPr>
            <w:tcW w:w="72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FD473AB">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lang w:eastAsia="zh-CN"/>
              </w:rPr>
            </w:pPr>
            <w:r>
              <w:rPr>
                <w:rFonts w:hint="eastAsia" w:ascii="微软雅黑" w:hAnsi="微软雅黑" w:eastAsia="微软雅黑" w:cs="微软雅黑"/>
                <w:b w:val="0"/>
                <w:bCs w:val="0"/>
                <w:color w:val="000000"/>
                <w:sz w:val="24"/>
                <w:lang w:eastAsia="zh-CN"/>
              </w:rPr>
              <w:t>单价</w:t>
            </w:r>
          </w:p>
        </w:tc>
        <w:tc>
          <w:tcPr>
            <w:tcW w:w="9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E9A6668">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color w:val="000000"/>
                <w:sz w:val="24"/>
                <w:lang w:eastAsia="zh-CN"/>
              </w:rPr>
            </w:pPr>
            <w:r>
              <w:rPr>
                <w:rFonts w:hint="eastAsia" w:ascii="微软雅黑" w:hAnsi="微软雅黑" w:eastAsia="微软雅黑" w:cs="微软雅黑"/>
                <w:b w:val="0"/>
                <w:bCs w:val="0"/>
                <w:color w:val="000000"/>
                <w:sz w:val="24"/>
                <w:lang w:eastAsia="zh-CN"/>
              </w:rPr>
              <w:t>总价</w:t>
            </w:r>
          </w:p>
        </w:tc>
      </w:tr>
      <w:tr w14:paraId="348EB1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08F6C4C4">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823F619">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lang w:val="en-US" w:eastAsia="zh-Hans"/>
              </w:rPr>
            </w:pPr>
            <w:r>
              <w:rPr>
                <w:rFonts w:cs="宋体" w:asciiTheme="minorEastAsia" w:hAnsiTheme="minorEastAsia"/>
                <w:sz w:val="21"/>
                <w:szCs w:val="21"/>
              </w:rPr>
              <w:t>智能LED教室灯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2320D01">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1、功率：</w:t>
            </w:r>
            <w:r>
              <w:rPr>
                <w:rFonts w:cs="宋体" w:asciiTheme="minorEastAsia" w:hAnsiTheme="minorEastAsia"/>
                <w:sz w:val="21"/>
                <w:szCs w:val="21"/>
                <w:lang w:eastAsia="zh-CN"/>
              </w:rPr>
              <w:t>≤</w:t>
            </w:r>
            <w:r>
              <w:rPr>
                <w:rFonts w:hint="default" w:cs="宋体" w:asciiTheme="minorEastAsia" w:hAnsiTheme="minorEastAsia"/>
                <w:sz w:val="21"/>
                <w:szCs w:val="21"/>
                <w:lang w:eastAsia="zh-CN"/>
              </w:rPr>
              <w:t>4</w:t>
            </w:r>
            <w:r>
              <w:rPr>
                <w:rFonts w:cs="宋体" w:asciiTheme="minorEastAsia" w:hAnsiTheme="minorEastAsia"/>
                <w:sz w:val="21"/>
                <w:szCs w:val="21"/>
                <w:lang w:eastAsia="zh-CN"/>
              </w:rPr>
              <w:t>0W</w:t>
            </w:r>
            <w:r>
              <w:rPr>
                <w:rFonts w:cs="宋体" w:asciiTheme="minorEastAsia" w:hAnsiTheme="minorEastAsia"/>
                <w:sz w:val="21"/>
                <w:szCs w:val="21"/>
              </w:rPr>
              <w:t>。</w:t>
            </w:r>
          </w:p>
          <w:p w14:paraId="55D8325D">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2、功率因数：≥0.90。</w:t>
            </w:r>
          </w:p>
          <w:p w14:paraId="44CCF1D2">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3、光通量：≥2800 lm。</w:t>
            </w:r>
          </w:p>
          <w:p w14:paraId="3F076F19">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4、灯具效能（或光效）：≥80 lm/W。</w:t>
            </w:r>
          </w:p>
          <w:p w14:paraId="1C76F259">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5、色温（或相关色温）：3300K-5300K。</w:t>
            </w:r>
          </w:p>
          <w:p w14:paraId="4CC5BC66">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6、显色指数：Ra＞90、R9＞50。</w:t>
            </w:r>
          </w:p>
          <w:p w14:paraId="7EBBC97B">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7、色容差（或色品容差）：＜5 SDCM。</w:t>
            </w:r>
          </w:p>
          <w:p w14:paraId="5B95A76B">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8、视网膜蓝光危害：蓝光危害等级为RG0。</w:t>
            </w:r>
          </w:p>
          <w:p w14:paraId="7C96A90D">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9、波动深度：在额定电压下工作时，灯具光输出波形的波动深度应不大于表中限值要求。</w:t>
            </w:r>
          </w:p>
          <w:tbl>
            <w:tblPr>
              <w:tblStyle w:val="4"/>
              <w:tblW w:w="0" w:type="auto"/>
              <w:tblInd w:w="0" w:type="dxa"/>
              <w:tblBorders>
                <w:top w:val="none" w:color="000000" w:sz="4" w:space="0"/>
                <w:left w:val="none" w:color="000000" w:sz="4" w:space="0"/>
                <w:bottom w:val="none" w:color="000000" w:sz="4" w:space="0"/>
                <w:right w:val="none" w:color="000000" w:sz="4" w:space="0"/>
                <w:insideH w:val="none" w:color="auto" w:sz="4" w:space="0"/>
                <w:insideV w:val="none" w:color="auto" w:sz="4" w:space="0"/>
              </w:tblBorders>
              <w:tblLayout w:type="fixed"/>
              <w:tblCellMar>
                <w:top w:w="0" w:type="dxa"/>
                <w:left w:w="108" w:type="dxa"/>
                <w:bottom w:w="0" w:type="dxa"/>
                <w:right w:w="108" w:type="dxa"/>
              </w:tblCellMar>
            </w:tblPr>
            <w:tblGrid>
              <w:gridCol w:w="1400"/>
              <w:gridCol w:w="1276"/>
              <w:gridCol w:w="1701"/>
              <w:gridCol w:w="1843"/>
              <w:gridCol w:w="1417"/>
            </w:tblGrid>
            <w:tr w14:paraId="79736BB3">
              <w:tblPrEx>
                <w:tblBorders>
                  <w:top w:val="none" w:color="000000" w:sz="4" w:space="0"/>
                  <w:left w:val="none" w:color="000000" w:sz="4" w:space="0"/>
                  <w:bottom w:val="none" w:color="000000" w:sz="4" w:space="0"/>
                  <w:right w:val="none" w:color="000000" w:sz="4" w:space="0"/>
                  <w:insideH w:val="none" w:color="auto" w:sz="4" w:space="0"/>
                  <w:insideV w:val="none" w:color="auto" w:sz="4" w:space="0"/>
                </w:tblBorders>
                <w:tblCellMar>
                  <w:top w:w="0" w:type="dxa"/>
                  <w:left w:w="108" w:type="dxa"/>
                  <w:bottom w:w="0" w:type="dxa"/>
                  <w:right w:w="108" w:type="dxa"/>
                </w:tblCellMar>
              </w:tblPrEx>
              <w:tc>
                <w:tcPr>
                  <w:tcW w:w="140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4948C95">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光输出波形频率（f）</w:t>
                  </w:r>
                </w:p>
              </w:tc>
              <w:tc>
                <w:tcPr>
                  <w:tcW w:w="12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8577034">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f≤10Hz</w:t>
                  </w:r>
                </w:p>
              </w:tc>
              <w:tc>
                <w:tcPr>
                  <w:tcW w:w="170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0DEE570E">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10Hz＜f≤90Hz</w:t>
                  </w:r>
                </w:p>
              </w:tc>
              <w:tc>
                <w:tcPr>
                  <w:tcW w:w="184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E87B3C7">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90Hz＜f≤3125Hz</w:t>
                  </w:r>
                </w:p>
              </w:tc>
              <w:tc>
                <w:tcPr>
                  <w:tcW w:w="141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50821844">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f＞3125Hz</w:t>
                  </w:r>
                </w:p>
              </w:tc>
            </w:tr>
            <w:tr w14:paraId="12A33C0B">
              <w:tblPrEx>
                <w:tblBorders>
                  <w:top w:val="none" w:color="000000" w:sz="4" w:space="0"/>
                  <w:left w:val="none" w:color="000000" w:sz="4" w:space="0"/>
                  <w:bottom w:val="none" w:color="000000" w:sz="4" w:space="0"/>
                  <w:right w:val="none" w:color="000000" w:sz="4" w:space="0"/>
                  <w:insideH w:val="none" w:color="auto" w:sz="4" w:space="0"/>
                  <w:insideV w:val="none" w:color="auto" w:sz="4" w:space="0"/>
                </w:tblBorders>
                <w:tblCellMar>
                  <w:top w:w="0" w:type="dxa"/>
                  <w:left w:w="108" w:type="dxa"/>
                  <w:bottom w:w="0" w:type="dxa"/>
                  <w:right w:w="108" w:type="dxa"/>
                </w:tblCellMar>
              </w:tblPrEx>
              <w:tc>
                <w:tcPr>
                  <w:tcW w:w="140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5931A54B">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波动深度限值（%）</w:t>
                  </w:r>
                </w:p>
              </w:tc>
              <w:tc>
                <w:tcPr>
                  <w:tcW w:w="12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8DACA6C">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0.1</w:t>
                  </w:r>
                </w:p>
              </w:tc>
              <w:tc>
                <w:tcPr>
                  <w:tcW w:w="1701"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2F9F3FE">
                  <w:pPr>
                    <w:pStyle w:val="6"/>
                    <w:adjustRightInd w:val="0"/>
                    <w:snapToGrid w:val="0"/>
                    <w:jc w:val="center"/>
                    <w:rPr>
                      <w:rFonts w:hint="default" w:cs="宋体" w:asciiTheme="minorEastAsia" w:hAnsiTheme="minorEastAsia"/>
                      <w:sz w:val="21"/>
                      <w:szCs w:val="21"/>
                    </w:rPr>
                  </w:pPr>
                  <w:bookmarkStart w:id="0" w:name="_GoBack"/>
                  <w:bookmarkEnd w:id="0"/>
                  <w:r>
                    <w:rPr>
                      <w:rFonts w:cs="宋体" w:asciiTheme="minorEastAsia" w:hAnsiTheme="minorEastAsia"/>
                      <w:sz w:val="21"/>
                      <w:szCs w:val="21"/>
                    </w:rPr>
                    <w:t>f×0.01</w:t>
                  </w:r>
                </w:p>
              </w:tc>
              <w:tc>
                <w:tcPr>
                  <w:tcW w:w="1843"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46EAE8E6">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f×0.032</w:t>
                  </w:r>
                </w:p>
              </w:tc>
              <w:tc>
                <w:tcPr>
                  <w:tcW w:w="141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6956C68E">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免除考核</w:t>
                  </w:r>
                </w:p>
              </w:tc>
            </w:tr>
          </w:tbl>
          <w:p w14:paraId="28D956CA">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10、闪烁：按IEC TR 61547-1的规定测得的PstLM不应大于1。</w:t>
            </w:r>
          </w:p>
          <w:p w14:paraId="67960E0D">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11、频闪效应：按IEC TR 63158规定测得的SVM不应大于1。</w:t>
            </w:r>
          </w:p>
          <w:p w14:paraId="51E0263A">
            <w:pPr>
              <w:pStyle w:val="6"/>
              <w:adjustRightInd w:val="0"/>
              <w:snapToGrid w:val="0"/>
              <w:rPr>
                <w:rFonts w:hint="default" w:cs="宋体" w:asciiTheme="minorEastAsia" w:hAnsiTheme="minorEastAsia"/>
                <w:b/>
                <w:sz w:val="21"/>
                <w:szCs w:val="21"/>
              </w:rPr>
            </w:pPr>
            <w:r>
              <w:rPr>
                <w:rFonts w:cs="宋体" w:asciiTheme="minorEastAsia" w:hAnsiTheme="minorEastAsia"/>
                <w:b/>
                <w:sz w:val="21"/>
                <w:szCs w:val="21"/>
              </w:rPr>
              <w:t>备注：序号1-序号11须提供第三方检测机构依据《</w:t>
            </w:r>
            <w:r>
              <w:rPr>
                <w:rFonts w:cs="宋体" w:asciiTheme="minorEastAsia" w:hAnsiTheme="minorEastAsia"/>
                <w:b/>
                <w:sz w:val="21"/>
                <w:szCs w:val="21"/>
                <w:lang w:eastAsia="zh-CN"/>
              </w:rPr>
              <w:t>QB/T5533</w:t>
            </w:r>
            <w:r>
              <w:rPr>
                <w:rFonts w:cs="宋体" w:asciiTheme="minorEastAsia" w:hAnsiTheme="minorEastAsia"/>
                <w:b/>
                <w:sz w:val="21"/>
                <w:szCs w:val="21"/>
              </w:rPr>
              <w:t>》标准出具的封面带有CMA</w:t>
            </w:r>
            <w:r>
              <w:rPr>
                <w:rFonts w:cs="宋体" w:asciiTheme="minorEastAsia" w:hAnsiTheme="minorEastAsia"/>
                <w:b/>
                <w:sz w:val="21"/>
                <w:szCs w:val="21"/>
                <w:lang w:eastAsia="zh-CN"/>
              </w:rPr>
              <w:t>标识的</w:t>
            </w:r>
            <w:r>
              <w:rPr>
                <w:rFonts w:cs="宋体" w:asciiTheme="minorEastAsia" w:hAnsiTheme="minorEastAsia"/>
                <w:b/>
                <w:sz w:val="21"/>
                <w:szCs w:val="21"/>
              </w:rPr>
              <w:t>检测报告复印件</w:t>
            </w:r>
            <w:r>
              <w:rPr>
                <w:rFonts w:cs="宋体" w:asciiTheme="minorEastAsia" w:hAnsiTheme="minorEastAsia"/>
                <w:b/>
                <w:sz w:val="21"/>
                <w:szCs w:val="21"/>
                <w:lang w:eastAsia="zh-CN"/>
              </w:rPr>
              <w:t>证明</w:t>
            </w:r>
            <w:r>
              <w:rPr>
                <w:rFonts w:cs="宋体" w:asciiTheme="minorEastAsia" w:hAnsiTheme="minorEastAsia"/>
                <w:b/>
                <w:sz w:val="21"/>
                <w:szCs w:val="21"/>
              </w:rPr>
              <w:t>及全国认证认可信息公共服务平台检测报告编号查询</w:t>
            </w:r>
            <w:r>
              <w:rPr>
                <w:rFonts w:cs="宋体" w:asciiTheme="minorEastAsia" w:hAnsiTheme="minorEastAsia"/>
                <w:b/>
                <w:sz w:val="21"/>
                <w:szCs w:val="21"/>
                <w:lang w:eastAsia="zh-CN"/>
              </w:rPr>
              <w:t>截图，同时提供报告所引用检测标准依据在中国合格评定国家认可委员会官网查询的检测能力范围证明截图</w:t>
            </w:r>
            <w:r>
              <w:rPr>
                <w:rFonts w:cs="宋体" w:asciiTheme="minorEastAsia" w:hAnsiTheme="minorEastAsia"/>
                <w:b/>
                <w:sz w:val="21"/>
                <w:szCs w:val="21"/>
              </w:rPr>
              <w:t>。</w:t>
            </w:r>
          </w:p>
          <w:p w14:paraId="5F51C348">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12、向上半球发射光通量占总光通量10%以上。</w:t>
            </w:r>
          </w:p>
          <w:p w14:paraId="1AF974AE">
            <w:pPr>
              <w:pStyle w:val="2"/>
              <w:adjustRightInd w:val="0"/>
              <w:snapToGrid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3</w:t>
            </w:r>
            <w:r>
              <w:rPr>
                <w:rFonts w:hint="eastAsia" w:cs="宋体" w:asciiTheme="minorEastAsia" w:hAnsiTheme="minorEastAsia" w:eastAsiaTheme="minorEastAsia"/>
                <w:sz w:val="21"/>
                <w:szCs w:val="21"/>
              </w:rPr>
              <w:t>、智能控制：无线组网和无线通讯；支持物联远程控制技术，如ZigBee无线组网等，支持室内情景面板调节，支持PC端等控制方式。灯光控制采用平滑渐变调节技术，调节过程柔和舒适；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p>
          <w:p w14:paraId="7BAD0D2F">
            <w:pPr>
              <w:adjustRightInd w:val="0"/>
              <w:snapToGrid w:val="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备注：序号12-序号1</w:t>
            </w:r>
            <w:r>
              <w:rPr>
                <w:rFonts w:cs="宋体" w:asciiTheme="minorEastAsia" w:hAnsiTheme="minorEastAsia" w:eastAsiaTheme="minorEastAsia"/>
                <w:b/>
                <w:szCs w:val="21"/>
              </w:rPr>
              <w:t>3</w:t>
            </w:r>
            <w:r>
              <w:rPr>
                <w:rFonts w:hint="eastAsia" w:cs="宋体" w:asciiTheme="minorEastAsia" w:hAnsiTheme="minorEastAsia" w:eastAsiaTheme="minorEastAsia"/>
                <w:b/>
                <w:szCs w:val="21"/>
              </w:rPr>
              <w:t>须提供第三方检测机构出具的封面带有CMA标识的检测报告复印件证明及检测报告编号在全国认证认可信息公共服务平台的查询截图</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同时提供报告所引用检测标准依据在中国合格评定国家认可委员会官网查询的检测能力范围证明</w:t>
            </w:r>
            <w:r>
              <w:rPr>
                <w:rFonts w:cs="宋体" w:asciiTheme="minorEastAsia" w:hAnsiTheme="minorEastAsia" w:eastAsiaTheme="minorEastAsia"/>
                <w:b/>
                <w:szCs w:val="21"/>
              </w:rPr>
              <w:t>截图</w:t>
            </w:r>
            <w:r>
              <w:rPr>
                <w:rFonts w:hint="eastAsia" w:cs="宋体" w:asciiTheme="minorEastAsia" w:hAnsiTheme="minorEastAsia" w:eastAsiaTheme="minorEastAsia"/>
                <w:b/>
                <w:szCs w:val="21"/>
              </w:rPr>
              <w:t>。</w:t>
            </w:r>
          </w:p>
          <w:p w14:paraId="7806A1CA">
            <w:pPr>
              <w:pStyle w:val="6"/>
              <w:adjustRightInd w:val="0"/>
              <w:snapToGrid w:val="0"/>
              <w:rPr>
                <w:rFonts w:hint="default" w:cs="宋体" w:asciiTheme="minorEastAsia" w:hAnsiTheme="minorEastAsia"/>
                <w:b/>
                <w:sz w:val="21"/>
                <w:szCs w:val="21"/>
                <w:lang w:eastAsia="zh-CN"/>
              </w:rPr>
            </w:pPr>
            <w:r>
              <w:rPr>
                <w:rFonts w:cs="宋体" w:asciiTheme="minorEastAsia" w:hAnsiTheme="minorEastAsia"/>
                <w:sz w:val="21"/>
                <w:szCs w:val="21"/>
                <w:lang w:eastAsia="zh-CN"/>
              </w:rPr>
              <w:t>1</w:t>
            </w:r>
            <w:r>
              <w:rPr>
                <w:rFonts w:hint="default" w:cs="宋体" w:asciiTheme="minorEastAsia" w:hAnsiTheme="minorEastAsia"/>
                <w:sz w:val="21"/>
                <w:szCs w:val="21"/>
                <w:lang w:eastAsia="zh-CN"/>
              </w:rPr>
              <w:t>4、</w:t>
            </w:r>
            <w:r>
              <w:rPr>
                <w:rFonts w:cs="宋体" w:asciiTheme="minorEastAsia" w:hAnsiTheme="minorEastAsia"/>
                <w:sz w:val="21"/>
                <w:szCs w:val="21"/>
              </w:rPr>
              <w:t>LED教室灯在大气压力≤90kPa，平均湿度≤80%RH、极值空气温度≥37℃及最低温度≤10℃与在大气压力≥100kPa，平均湿度≥50%RH、极值空气温度≤-15℃及最高温度≤5℃的实地环境条件下至少持续运行</w:t>
            </w:r>
            <w:r>
              <w:rPr>
                <w:rFonts w:hint="default" w:cs="宋体" w:asciiTheme="minorEastAsia" w:hAnsiTheme="minorEastAsia"/>
                <w:sz w:val="21"/>
                <w:szCs w:val="21"/>
              </w:rPr>
              <w:t>3</w:t>
            </w:r>
            <w:r>
              <w:rPr>
                <w:rFonts w:cs="宋体" w:asciiTheme="minorEastAsia" w:hAnsiTheme="minorEastAsia"/>
                <w:sz w:val="21"/>
                <w:szCs w:val="21"/>
              </w:rPr>
              <w:t>00小时，至少依据《GB 7000.1》、《GB 7000.201》、《GB/T36979》、《GB/T31897.1》、《GB/T31897.201》、《GB/T31831》、《GB/T18595》及《GB/T9468》标准均满足色品空间颜色非均匀性△u’v’≤0.007及光束角C0-C180及C90-C270的实测值与初始值偏差均不超过±10%。</w:t>
            </w:r>
            <w:r>
              <w:rPr>
                <w:rFonts w:cs="宋体" w:asciiTheme="minorEastAsia" w:hAnsiTheme="minorEastAsia"/>
                <w:b/>
                <w:sz w:val="21"/>
                <w:szCs w:val="21"/>
              </w:rPr>
              <w:t>须提供第三方认证机构出具的认证证书及全国认证认可信息公共服务平台证书状态为“有效”查询证明</w:t>
            </w:r>
            <w:r>
              <w:rPr>
                <w:rFonts w:cs="宋体" w:asciiTheme="minorEastAsia" w:hAnsiTheme="minorEastAsia"/>
                <w:b/>
                <w:kern w:val="2"/>
                <w:sz w:val="21"/>
                <w:szCs w:val="21"/>
                <w:lang w:eastAsia="zh-CN"/>
              </w:rPr>
              <w:t>复印件（证书及查询证明文件均须同时体现产品型号及认证标准，证书上须体现实地验证）。</w:t>
            </w:r>
            <w:r>
              <w:rPr>
                <w:rFonts w:cs="宋体" w:asciiTheme="minorEastAsia" w:hAnsiTheme="minorEastAsia"/>
                <w:b/>
                <w:sz w:val="21"/>
                <w:szCs w:val="21"/>
                <w:lang w:eastAsia="zh-CN"/>
              </w:rPr>
              <w:t xml:space="preserve"> </w:t>
            </w:r>
          </w:p>
          <w:p w14:paraId="6DC07FF2">
            <w:pPr>
              <w:adjustRightInd w:val="0"/>
              <w:snapToGrid w:val="0"/>
              <w:jc w:val="left"/>
              <w:rPr>
                <w:rFonts w:hint="eastAsia" w:cs="Arial" w:asciiTheme="minorEastAsia" w:hAnsiTheme="minorEastAsia" w:eastAsiaTheme="minorEastAsia"/>
                <w:color w:val="000000"/>
                <w:kern w:val="2"/>
                <w:sz w:val="21"/>
                <w:szCs w:val="21"/>
                <w:shd w:val="clear" w:color="auto" w:fill="FFFFFF"/>
                <w:lang w:val="en-US" w:eastAsia="zh-Hans" w:bidi="ar-SA"/>
              </w:rPr>
            </w:pPr>
            <w:r>
              <w:rPr>
                <w:rFonts w:cs="宋体" w:asciiTheme="minorEastAsia" w:hAnsiTheme="minorEastAsia" w:eastAsiaTheme="minorEastAsia"/>
                <w:szCs w:val="21"/>
              </w:rPr>
              <w:t>15、</w:t>
            </w:r>
            <w:r>
              <w:rPr>
                <w:rFonts w:hint="eastAsia" w:cs="宋体" w:asciiTheme="minorEastAsia" w:hAnsiTheme="minorEastAsia" w:eastAsiaTheme="minorEastAsia"/>
                <w:szCs w:val="21"/>
              </w:rPr>
              <w:t>LED教室灯长度≥1</w:t>
            </w:r>
            <w:r>
              <w:rPr>
                <w:rFonts w:cs="宋体" w:asciiTheme="minorEastAsia" w:hAnsiTheme="minorEastAsia" w:eastAsiaTheme="minorEastAsia"/>
                <w:szCs w:val="21"/>
              </w:rPr>
              <w:t>220mm</w:t>
            </w:r>
            <w:r>
              <w:rPr>
                <w:rFonts w:hint="eastAsia" w:cs="宋体" w:asciiTheme="minorEastAsia" w:hAnsiTheme="minorEastAsia" w:eastAsiaTheme="minorEastAsia"/>
                <w:szCs w:val="21"/>
              </w:rPr>
              <w:t>，为一体式电镀铝长方形格栅防眩灯具；背罩采用高分子复合材料，抗UV、耐黄变；背均匀出光，背部可视发光面积占总背罩面积不低于50%，以确保教室天花板照度均匀，降低教室整体眩光；采用一体式航空铝型材边框，耐腐蚀、抗氧化；四边角为圆弧，圆弧半径R不低于4</w:t>
            </w:r>
            <w:r>
              <w:rPr>
                <w:rFonts w:cs="宋体" w:asciiTheme="minorEastAsia" w:hAnsiTheme="minorEastAsia" w:eastAsiaTheme="minorEastAsia"/>
                <w:szCs w:val="21"/>
              </w:rPr>
              <w:t>0mm，</w:t>
            </w:r>
            <w:r>
              <w:rPr>
                <w:rFonts w:hint="eastAsia" w:cs="宋体" w:asciiTheme="minorEastAsia" w:hAnsiTheme="minorEastAsia" w:eastAsiaTheme="minorEastAsia"/>
                <w:szCs w:val="21"/>
              </w:rPr>
              <w:t>以减少尖锐磕碰风险</w:t>
            </w:r>
            <w:r>
              <w:rPr>
                <w:rFonts w:cs="宋体" w:asciiTheme="minorEastAsia" w:hAnsiTheme="minorEastAsia" w:eastAsiaTheme="minorEastAsia"/>
                <w:szCs w:val="21"/>
              </w:rPr>
              <w:t>，边框</w:t>
            </w:r>
            <w:r>
              <w:rPr>
                <w:rFonts w:hint="eastAsia" w:cs="宋体" w:asciiTheme="minorEastAsia" w:hAnsiTheme="minorEastAsia" w:eastAsiaTheme="minorEastAsia"/>
                <w:szCs w:val="21"/>
              </w:rPr>
              <w:t>为一体化工艺，不接受拼接工艺，保证灯体安全牢固。采用大尺寸外置驱动电源，器件散热性能好；驱动不可徒手拆卸，保证安全；驱动电源置于灯体上居中对称，保证吊装安全稳固。</w:t>
            </w:r>
            <w:r>
              <w:rPr>
                <w:rFonts w:hint="eastAsia" w:cs="宋体" w:asciiTheme="minorEastAsia" w:hAnsiTheme="minorEastAsia" w:eastAsiaTheme="minorEastAsia"/>
                <w:b/>
                <w:szCs w:val="21"/>
              </w:rPr>
              <w:t>须提供相关佐证材料。</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09007B9">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36盏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9A84D44">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715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FED8B1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25740</w:t>
            </w:r>
          </w:p>
        </w:tc>
      </w:tr>
      <w:tr w14:paraId="035369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29E99A8D">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r>
              <w:rPr>
                <w:rFonts w:hint="eastAsia" w:ascii="微软雅黑" w:hAnsi="微软雅黑" w:eastAsia="微软雅黑" w:cs="微软雅黑"/>
                <w:b w:val="0"/>
                <w:bCs w:val="0"/>
                <w:color w:val="000000"/>
                <w:sz w:val="24"/>
              </w:rPr>
              <w:t>2</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38B489BC">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lang w:val="en-US" w:eastAsia="zh-Hans"/>
              </w:rPr>
            </w:pPr>
            <w:r>
              <w:rPr>
                <w:rFonts w:cs="宋体" w:asciiTheme="minorEastAsia" w:hAnsiTheme="minorEastAsia"/>
                <w:sz w:val="21"/>
                <w:szCs w:val="21"/>
              </w:rPr>
              <w:t>智能LED黑板灯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4704087C">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1、功率：</w:t>
            </w:r>
            <w:r>
              <w:rPr>
                <w:rFonts w:cs="宋体" w:asciiTheme="minorEastAsia" w:hAnsiTheme="minorEastAsia"/>
                <w:sz w:val="21"/>
                <w:szCs w:val="21"/>
                <w:lang w:eastAsia="zh-CN"/>
              </w:rPr>
              <w:t>≤</w:t>
            </w:r>
            <w:r>
              <w:rPr>
                <w:rFonts w:hint="default" w:cs="宋体" w:asciiTheme="minorEastAsia" w:hAnsiTheme="minorEastAsia"/>
                <w:sz w:val="21"/>
                <w:szCs w:val="21"/>
                <w:lang w:eastAsia="zh-CN"/>
              </w:rPr>
              <w:t>4</w:t>
            </w:r>
            <w:r>
              <w:rPr>
                <w:rFonts w:cs="宋体" w:asciiTheme="minorEastAsia" w:hAnsiTheme="minorEastAsia"/>
                <w:sz w:val="21"/>
                <w:szCs w:val="21"/>
                <w:lang w:eastAsia="zh-CN"/>
              </w:rPr>
              <w:t>0W</w:t>
            </w:r>
            <w:r>
              <w:rPr>
                <w:rFonts w:cs="宋体" w:asciiTheme="minorEastAsia" w:hAnsiTheme="minorEastAsia"/>
                <w:sz w:val="21"/>
                <w:szCs w:val="21"/>
              </w:rPr>
              <w:t>。</w:t>
            </w:r>
          </w:p>
          <w:p w14:paraId="00C65C23">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2、功率因数：≥0.90。</w:t>
            </w:r>
          </w:p>
          <w:p w14:paraId="54C94B15">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3、光通量：≥2800 lm。</w:t>
            </w:r>
          </w:p>
          <w:p w14:paraId="49525074">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4、灯具效能（或光效）：≥80 lm/W。</w:t>
            </w:r>
          </w:p>
          <w:p w14:paraId="75E53FB0">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5、色温（或相关色温）：3300K-5300K。</w:t>
            </w:r>
          </w:p>
          <w:p w14:paraId="76C94310">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6、显色指数：Ra＞90、R9＞50。</w:t>
            </w:r>
          </w:p>
          <w:p w14:paraId="221EAE08">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7、色容差（或色品容差）：＜5 SDCM。</w:t>
            </w:r>
          </w:p>
          <w:p w14:paraId="0E072E12">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8、视网膜蓝光危害：蓝光危害等级为RG0。</w:t>
            </w:r>
          </w:p>
          <w:p w14:paraId="447F0EC1">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9、波动深度：在额定电压下工作时，灯具光输出波形的波动深度应不大于表中限值要求。</w:t>
            </w:r>
          </w:p>
          <w:tbl>
            <w:tblPr>
              <w:tblStyle w:val="4"/>
              <w:tblW w:w="5817" w:type="dxa"/>
              <w:tblInd w:w="0" w:type="dxa"/>
              <w:tblBorders>
                <w:top w:val="none" w:color="000000" w:sz="4" w:space="0"/>
                <w:left w:val="none" w:color="000000" w:sz="4" w:space="0"/>
                <w:bottom w:val="none" w:color="000000" w:sz="4" w:space="0"/>
                <w:right w:val="none" w:color="000000" w:sz="4" w:space="0"/>
                <w:insideH w:val="none" w:color="auto" w:sz="4" w:space="0"/>
                <w:insideV w:val="none" w:color="auto" w:sz="4" w:space="0"/>
              </w:tblBorders>
              <w:tblLayout w:type="fixed"/>
              <w:tblCellMar>
                <w:top w:w="0" w:type="dxa"/>
                <w:left w:w="108" w:type="dxa"/>
                <w:bottom w:w="0" w:type="dxa"/>
                <w:right w:w="108" w:type="dxa"/>
              </w:tblCellMar>
            </w:tblPr>
            <w:tblGrid>
              <w:gridCol w:w="1066"/>
              <w:gridCol w:w="972"/>
              <w:gridCol w:w="1296"/>
              <w:gridCol w:w="1107"/>
              <w:gridCol w:w="1376"/>
            </w:tblGrid>
            <w:tr w14:paraId="47C0E91D">
              <w:tblPrEx>
                <w:tblBorders>
                  <w:top w:val="none" w:color="000000" w:sz="4" w:space="0"/>
                  <w:left w:val="none" w:color="000000" w:sz="4" w:space="0"/>
                  <w:bottom w:val="none" w:color="000000" w:sz="4" w:space="0"/>
                  <w:right w:val="none" w:color="000000" w:sz="4" w:space="0"/>
                  <w:insideH w:val="none" w:color="auto" w:sz="4" w:space="0"/>
                  <w:insideV w:val="none" w:color="auto" w:sz="4" w:space="0"/>
                </w:tblBorders>
                <w:tblCellMar>
                  <w:top w:w="0" w:type="dxa"/>
                  <w:left w:w="108" w:type="dxa"/>
                  <w:bottom w:w="0" w:type="dxa"/>
                  <w:right w:w="108" w:type="dxa"/>
                </w:tblCellMar>
              </w:tblPrEx>
              <w:trPr>
                <w:trHeight w:val="1639" w:hRule="atLeast"/>
              </w:trPr>
              <w:tc>
                <w:tcPr>
                  <w:tcW w:w="10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965CE04">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光输出波形频率（f）</w:t>
                  </w:r>
                </w:p>
              </w:tc>
              <w:tc>
                <w:tcPr>
                  <w:tcW w:w="97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319D495E">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f≤10Hz</w:t>
                  </w:r>
                </w:p>
              </w:tc>
              <w:tc>
                <w:tcPr>
                  <w:tcW w:w="129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A1473C9">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10Hz＜f≤90Hz</w:t>
                  </w:r>
                </w:p>
              </w:tc>
              <w:tc>
                <w:tcPr>
                  <w:tcW w:w="110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7DAAE1A6">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90Hz＜f≤3125Hz</w:t>
                  </w:r>
                </w:p>
              </w:tc>
              <w:tc>
                <w:tcPr>
                  <w:tcW w:w="1376"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center"/>
                </w:tcPr>
                <w:p w14:paraId="1F9F926B">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f＞3125Hz</w:t>
                  </w:r>
                </w:p>
              </w:tc>
            </w:tr>
            <w:tr w14:paraId="5CAADE79">
              <w:tblPrEx>
                <w:tblBorders>
                  <w:top w:val="none" w:color="000000" w:sz="4" w:space="0"/>
                  <w:left w:val="none" w:color="000000" w:sz="4" w:space="0"/>
                  <w:bottom w:val="none" w:color="000000" w:sz="4" w:space="0"/>
                  <w:right w:val="none" w:color="000000" w:sz="4" w:space="0"/>
                  <w:insideH w:val="none" w:color="auto" w:sz="4" w:space="0"/>
                  <w:insideV w:val="none" w:color="auto" w:sz="4" w:space="0"/>
                </w:tblBorders>
                <w:tblCellMar>
                  <w:top w:w="0" w:type="dxa"/>
                  <w:left w:w="108" w:type="dxa"/>
                  <w:bottom w:w="0" w:type="dxa"/>
                  <w:right w:w="108" w:type="dxa"/>
                </w:tblCellMar>
              </w:tblPrEx>
              <w:trPr>
                <w:trHeight w:val="832" w:hRule="atLeast"/>
              </w:trPr>
              <w:tc>
                <w:tcPr>
                  <w:tcW w:w="10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14:paraId="4EBBD9FF">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波动深度限值（%）</w:t>
                  </w:r>
                </w:p>
              </w:tc>
              <w:tc>
                <w:tcPr>
                  <w:tcW w:w="972"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A6EB06">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0.1</w:t>
                  </w:r>
                </w:p>
              </w:tc>
              <w:tc>
                <w:tcPr>
                  <w:tcW w:w="129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993016B">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f×0.01</w:t>
                  </w:r>
                </w:p>
              </w:tc>
              <w:tc>
                <w:tcPr>
                  <w:tcW w:w="1107"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17AA6793">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f×0.032</w:t>
                  </w:r>
                </w:p>
              </w:tc>
              <w:tc>
                <w:tcPr>
                  <w:tcW w:w="1376" w:type="dxa"/>
                  <w:tcBorders>
                    <w:top w:val="nil"/>
                    <w:left w:val="nil"/>
                    <w:bottom w:val="single" w:color="000000" w:sz="4" w:space="0"/>
                    <w:right w:val="single" w:color="000000" w:sz="4" w:space="0"/>
                  </w:tcBorders>
                  <w:tcMar>
                    <w:top w:w="0" w:type="dxa"/>
                    <w:left w:w="105" w:type="dxa"/>
                    <w:bottom w:w="0" w:type="dxa"/>
                    <w:right w:w="105" w:type="dxa"/>
                  </w:tcMar>
                  <w:vAlign w:val="center"/>
                </w:tcPr>
                <w:p w14:paraId="7F54360F">
                  <w:pPr>
                    <w:pStyle w:val="6"/>
                    <w:adjustRightInd w:val="0"/>
                    <w:snapToGrid w:val="0"/>
                    <w:jc w:val="center"/>
                    <w:rPr>
                      <w:rFonts w:hint="default" w:cs="宋体" w:asciiTheme="minorEastAsia" w:hAnsiTheme="minorEastAsia"/>
                      <w:sz w:val="21"/>
                      <w:szCs w:val="21"/>
                    </w:rPr>
                  </w:pPr>
                  <w:r>
                    <w:rPr>
                      <w:rFonts w:cs="宋体" w:asciiTheme="minorEastAsia" w:hAnsiTheme="minorEastAsia"/>
                      <w:sz w:val="21"/>
                      <w:szCs w:val="21"/>
                    </w:rPr>
                    <w:t>免除考核</w:t>
                  </w:r>
                </w:p>
              </w:tc>
            </w:tr>
          </w:tbl>
          <w:p w14:paraId="2225C012">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10、闪烁：按IEC TR 61547-1的规定测得的PstLM不应大于1。</w:t>
            </w:r>
          </w:p>
          <w:p w14:paraId="1D462C89">
            <w:pPr>
              <w:pStyle w:val="6"/>
              <w:adjustRightInd w:val="0"/>
              <w:snapToGrid w:val="0"/>
              <w:rPr>
                <w:rFonts w:hint="default" w:cs="宋体" w:asciiTheme="minorEastAsia" w:hAnsiTheme="minorEastAsia"/>
                <w:sz w:val="21"/>
                <w:szCs w:val="21"/>
              </w:rPr>
            </w:pPr>
            <w:r>
              <w:rPr>
                <w:rFonts w:cs="宋体" w:asciiTheme="minorEastAsia" w:hAnsiTheme="minorEastAsia"/>
                <w:sz w:val="21"/>
                <w:szCs w:val="21"/>
              </w:rPr>
              <w:t>11、频闪效应：按IEC TR 63158规定测得的SVM不应大于1。</w:t>
            </w:r>
          </w:p>
          <w:p w14:paraId="28274DE0">
            <w:pPr>
              <w:pStyle w:val="6"/>
              <w:adjustRightInd w:val="0"/>
              <w:snapToGrid w:val="0"/>
              <w:rPr>
                <w:rFonts w:hint="default" w:cs="宋体" w:asciiTheme="minorEastAsia" w:hAnsiTheme="minorEastAsia"/>
                <w:b/>
                <w:sz w:val="21"/>
                <w:szCs w:val="21"/>
              </w:rPr>
            </w:pPr>
            <w:r>
              <w:rPr>
                <w:rFonts w:cs="宋体" w:asciiTheme="minorEastAsia" w:hAnsiTheme="minorEastAsia"/>
                <w:b/>
                <w:sz w:val="21"/>
                <w:szCs w:val="21"/>
              </w:rPr>
              <w:t>备注：序号1-序号11须提供第三方检测机构依据《</w:t>
            </w:r>
            <w:r>
              <w:rPr>
                <w:rFonts w:cs="宋体" w:asciiTheme="minorEastAsia" w:hAnsiTheme="minorEastAsia"/>
                <w:b/>
                <w:sz w:val="21"/>
                <w:szCs w:val="21"/>
                <w:lang w:eastAsia="zh-CN"/>
              </w:rPr>
              <w:t>QB/T5533</w:t>
            </w:r>
            <w:r>
              <w:rPr>
                <w:rFonts w:cs="宋体" w:asciiTheme="minorEastAsia" w:hAnsiTheme="minorEastAsia"/>
                <w:b/>
                <w:sz w:val="21"/>
                <w:szCs w:val="21"/>
              </w:rPr>
              <w:t>》标准出具的封面带有CMA</w:t>
            </w:r>
            <w:r>
              <w:rPr>
                <w:rFonts w:cs="宋体" w:asciiTheme="minorEastAsia" w:hAnsiTheme="minorEastAsia"/>
                <w:b/>
                <w:sz w:val="21"/>
                <w:szCs w:val="21"/>
                <w:lang w:eastAsia="zh-CN"/>
              </w:rPr>
              <w:t>标识</w:t>
            </w:r>
            <w:r>
              <w:rPr>
                <w:rFonts w:cs="宋体" w:asciiTheme="minorEastAsia" w:hAnsiTheme="minorEastAsia"/>
                <w:b/>
                <w:sz w:val="21"/>
                <w:szCs w:val="21"/>
              </w:rPr>
              <w:t>的检测报告复印件</w:t>
            </w:r>
            <w:r>
              <w:rPr>
                <w:rFonts w:cs="宋体" w:asciiTheme="minorEastAsia" w:hAnsiTheme="minorEastAsia"/>
                <w:b/>
                <w:sz w:val="21"/>
                <w:szCs w:val="21"/>
                <w:lang w:eastAsia="zh-CN"/>
              </w:rPr>
              <w:t>证明</w:t>
            </w:r>
            <w:r>
              <w:rPr>
                <w:rFonts w:cs="宋体" w:asciiTheme="minorEastAsia" w:hAnsiTheme="minorEastAsia"/>
                <w:b/>
                <w:sz w:val="21"/>
                <w:szCs w:val="21"/>
              </w:rPr>
              <w:t>及全国认证认可信息公共服务平台检测报告编号查询</w:t>
            </w:r>
            <w:r>
              <w:rPr>
                <w:rFonts w:cs="宋体" w:asciiTheme="minorEastAsia" w:hAnsiTheme="minorEastAsia"/>
                <w:b/>
                <w:sz w:val="21"/>
                <w:szCs w:val="21"/>
                <w:lang w:eastAsia="zh-CN"/>
              </w:rPr>
              <w:t>截图，同时提供报告所引用检测标准依据在中国合格评定国家认可委员会官网查询的检测能力范围证明截图</w:t>
            </w:r>
            <w:r>
              <w:rPr>
                <w:rFonts w:cs="宋体" w:asciiTheme="minorEastAsia" w:hAnsiTheme="minorEastAsia"/>
                <w:b/>
                <w:sz w:val="21"/>
                <w:szCs w:val="21"/>
              </w:rPr>
              <w:t>。</w:t>
            </w:r>
          </w:p>
          <w:p w14:paraId="23CA968A">
            <w:pPr>
              <w:pStyle w:val="2"/>
              <w:adjustRightInd w:val="0"/>
              <w:snapToGrid w:val="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w:t>
            </w:r>
            <w:r>
              <w:rPr>
                <w:rFonts w:cs="宋体" w:asciiTheme="minorEastAsia" w:hAnsiTheme="minorEastAsia" w:eastAsiaTheme="minorEastAsia"/>
                <w:sz w:val="21"/>
                <w:szCs w:val="21"/>
              </w:rPr>
              <w:t>2</w:t>
            </w:r>
            <w:r>
              <w:rPr>
                <w:rFonts w:hint="eastAsia" w:cs="宋体" w:asciiTheme="minorEastAsia" w:hAnsiTheme="minorEastAsia" w:eastAsiaTheme="minorEastAsia"/>
                <w:sz w:val="21"/>
                <w:szCs w:val="21"/>
              </w:rPr>
              <w:t>、智能控制：无线组网和无线通讯；支持物联远程控制技术，如ZigBee无线组网等，支持室内情景面板调节，支持PC端等控制方式。灯光控制采用平滑渐变调节技术，调节过程柔和舒适；场景控制器各场景模式的灯具亮度可根据实际需求调节，亮度设置范围0%~100%可调。根据教学场景配置≥4种默认场景模式，支持快速配置；场景快速切换，根据使用需求能够快速切换整体灯光照明状态，根据教学场景配置多种自定义场景模式。</w:t>
            </w:r>
          </w:p>
          <w:p w14:paraId="2DFDEFF2">
            <w:pPr>
              <w:adjustRightInd w:val="0"/>
              <w:snapToGrid w:val="0"/>
              <w:jc w:val="left"/>
              <w:rPr>
                <w:rFonts w:cs="宋体" w:asciiTheme="minorEastAsia" w:hAnsiTheme="minorEastAsia" w:eastAsiaTheme="minorEastAsia"/>
                <w:b/>
                <w:szCs w:val="21"/>
              </w:rPr>
            </w:pPr>
            <w:r>
              <w:rPr>
                <w:rFonts w:hint="eastAsia" w:cs="宋体" w:asciiTheme="minorEastAsia" w:hAnsiTheme="minorEastAsia" w:eastAsiaTheme="minorEastAsia"/>
                <w:b/>
                <w:szCs w:val="21"/>
              </w:rPr>
              <w:t>备注：序号</w:t>
            </w:r>
            <w:r>
              <w:rPr>
                <w:rFonts w:cs="宋体" w:asciiTheme="minorEastAsia" w:hAnsiTheme="minorEastAsia" w:eastAsiaTheme="minorEastAsia"/>
                <w:b/>
                <w:szCs w:val="21"/>
              </w:rPr>
              <w:t>12</w:t>
            </w:r>
            <w:r>
              <w:rPr>
                <w:rFonts w:hint="eastAsia" w:cs="宋体" w:asciiTheme="minorEastAsia" w:hAnsiTheme="minorEastAsia" w:eastAsiaTheme="minorEastAsia"/>
                <w:b/>
                <w:szCs w:val="21"/>
              </w:rPr>
              <w:t>须提供第三方检测机构出具的封面带有CMA标识的检测报告复印件证明及检测报告编号在全国认证认可信息公共服务平台的查询截图</w:t>
            </w:r>
            <w:r>
              <w:rPr>
                <w:rFonts w:cs="宋体" w:asciiTheme="minorEastAsia" w:hAnsiTheme="minorEastAsia" w:eastAsiaTheme="minorEastAsia"/>
                <w:b/>
                <w:szCs w:val="21"/>
              </w:rPr>
              <w:t>，</w:t>
            </w:r>
            <w:r>
              <w:rPr>
                <w:rFonts w:hint="eastAsia" w:cs="宋体" w:asciiTheme="minorEastAsia" w:hAnsiTheme="minorEastAsia" w:eastAsiaTheme="minorEastAsia"/>
                <w:b/>
                <w:szCs w:val="21"/>
              </w:rPr>
              <w:t>同时提供报告所引用检测标准依据在中国合格评定国家认可委员会官网查询的检测能力范围证明</w:t>
            </w:r>
            <w:r>
              <w:rPr>
                <w:rFonts w:cs="宋体" w:asciiTheme="minorEastAsia" w:hAnsiTheme="minorEastAsia" w:eastAsiaTheme="minorEastAsia"/>
                <w:b/>
                <w:szCs w:val="21"/>
              </w:rPr>
              <w:t>截图</w:t>
            </w:r>
            <w:r>
              <w:rPr>
                <w:rFonts w:hint="eastAsia" w:cs="宋体" w:asciiTheme="minorEastAsia" w:hAnsiTheme="minorEastAsia" w:eastAsiaTheme="minorEastAsia"/>
                <w:b/>
                <w:szCs w:val="21"/>
              </w:rPr>
              <w:t>。</w:t>
            </w:r>
          </w:p>
          <w:p w14:paraId="03AF8DD2">
            <w:pPr>
              <w:pStyle w:val="6"/>
              <w:adjustRightInd w:val="0"/>
              <w:snapToGrid w:val="0"/>
              <w:rPr>
                <w:rFonts w:hint="default" w:cs="宋体" w:asciiTheme="minorEastAsia" w:hAnsiTheme="minorEastAsia"/>
                <w:b/>
                <w:sz w:val="21"/>
                <w:szCs w:val="21"/>
                <w:lang w:eastAsia="zh-CN"/>
              </w:rPr>
            </w:pPr>
            <w:r>
              <w:rPr>
                <w:rFonts w:cs="宋体" w:asciiTheme="minorEastAsia" w:hAnsiTheme="minorEastAsia"/>
                <w:sz w:val="21"/>
                <w:szCs w:val="21"/>
                <w:lang w:eastAsia="zh-CN"/>
              </w:rPr>
              <w:t>1</w:t>
            </w:r>
            <w:r>
              <w:rPr>
                <w:rFonts w:hint="default" w:cs="宋体" w:asciiTheme="minorEastAsia" w:hAnsiTheme="minorEastAsia"/>
                <w:sz w:val="21"/>
                <w:szCs w:val="21"/>
                <w:lang w:eastAsia="zh-CN"/>
              </w:rPr>
              <w:t>3、</w:t>
            </w:r>
            <w:r>
              <w:rPr>
                <w:rFonts w:cs="宋体" w:asciiTheme="minorEastAsia" w:hAnsiTheme="minorEastAsia"/>
                <w:sz w:val="21"/>
                <w:szCs w:val="21"/>
              </w:rPr>
              <w:t>LED黑板灯在大气压力≤90kPa，平均湿度≤80%RH、极值空气温度≥37℃及最低温度≤10℃与在大气压力≥100kPa，平均湿度≥50%RH、极值空气温度≤-15℃及最高温度≤5℃的实地环境条件下至少持续运行</w:t>
            </w:r>
            <w:r>
              <w:rPr>
                <w:rFonts w:hint="default" w:cs="宋体" w:asciiTheme="minorEastAsia" w:hAnsiTheme="minorEastAsia"/>
                <w:sz w:val="21"/>
                <w:szCs w:val="21"/>
              </w:rPr>
              <w:t>3</w:t>
            </w:r>
            <w:r>
              <w:rPr>
                <w:rFonts w:cs="宋体" w:asciiTheme="minorEastAsia" w:hAnsiTheme="minorEastAsia"/>
                <w:sz w:val="21"/>
                <w:szCs w:val="21"/>
              </w:rPr>
              <w:t>00小时，至少依据《GB 7000.1》、《GB 7000.201》、《GB/T36979》、《GB/T31897.1》、《GB/T31897.201》、《GB/T31831》、《GB/T18595》及《GB/T9468》标准均满足色品空间颜色非均匀性△u’v’≤0.007及光束角C0-C180及C90-C270的实测值与初始值偏差均不超过±10%。</w:t>
            </w:r>
            <w:r>
              <w:rPr>
                <w:rFonts w:cs="宋体" w:asciiTheme="minorEastAsia" w:hAnsiTheme="minorEastAsia"/>
                <w:b/>
                <w:sz w:val="21"/>
                <w:szCs w:val="21"/>
              </w:rPr>
              <w:t>须提供第三方认证机构出具的认证证书及全国认证认可信息公共服务平台证书状态为“有效”查询证明</w:t>
            </w:r>
            <w:r>
              <w:rPr>
                <w:rFonts w:cs="宋体" w:asciiTheme="minorEastAsia" w:hAnsiTheme="minorEastAsia"/>
                <w:b/>
                <w:kern w:val="2"/>
                <w:sz w:val="21"/>
                <w:szCs w:val="21"/>
                <w:lang w:eastAsia="zh-CN"/>
              </w:rPr>
              <w:t>复印件（证书及查询证明文件均须同时体现产品型号及认证标准，证书上须体现实地验证）。</w:t>
            </w:r>
            <w:r>
              <w:rPr>
                <w:rFonts w:cs="宋体" w:asciiTheme="minorEastAsia" w:hAnsiTheme="minorEastAsia"/>
                <w:b/>
                <w:sz w:val="21"/>
                <w:szCs w:val="21"/>
                <w:lang w:eastAsia="zh-CN"/>
              </w:rPr>
              <w:t xml:space="preserve"> </w:t>
            </w:r>
          </w:p>
          <w:p w14:paraId="7D3B5EE9">
            <w:pPr>
              <w:pStyle w:val="6"/>
              <w:keepNext w:val="0"/>
              <w:keepLines w:val="0"/>
              <w:pageBreakBefore w:val="0"/>
              <w:kinsoku/>
              <w:wordWrap/>
              <w:overflowPunct/>
              <w:topLinePunct w:val="0"/>
              <w:autoSpaceDE/>
              <w:autoSpaceDN/>
              <w:bidi w:val="0"/>
              <w:adjustRightInd/>
              <w:snapToGrid/>
              <w:spacing w:line="400" w:lineRule="exact"/>
              <w:jc w:val="both"/>
              <w:rPr>
                <w:rFonts w:hint="eastAsia" w:ascii="微软雅黑" w:hAnsi="微软雅黑" w:eastAsia="微软雅黑" w:cs="微软雅黑"/>
                <w:b w:val="0"/>
                <w:bCs w:val="0"/>
                <w:lang w:val="en-US" w:eastAsia="zh-Hans"/>
              </w:rPr>
            </w:pPr>
            <w:r>
              <w:rPr>
                <w:rFonts w:cs="宋体" w:asciiTheme="minorEastAsia" w:hAnsiTheme="minorEastAsia"/>
                <w:sz w:val="21"/>
                <w:szCs w:val="21"/>
                <w:lang w:eastAsia="zh-CN"/>
              </w:rPr>
              <w:t>1</w:t>
            </w:r>
            <w:r>
              <w:rPr>
                <w:rFonts w:hint="default" w:cs="宋体" w:asciiTheme="minorEastAsia" w:hAnsiTheme="minorEastAsia"/>
                <w:sz w:val="21"/>
                <w:szCs w:val="21"/>
                <w:lang w:eastAsia="zh-CN"/>
              </w:rPr>
              <w:t>4</w:t>
            </w:r>
            <w:r>
              <w:rPr>
                <w:rFonts w:cs="宋体" w:asciiTheme="minorEastAsia" w:hAnsiTheme="minorEastAsia"/>
                <w:sz w:val="21"/>
                <w:szCs w:val="21"/>
              </w:rPr>
              <w:t>、LED黑板灯长度≥1220mm，为一体式透镜防眩灯具；透镜为PC材质，耐高温。吊杆连接装置可滑动左右调节，方便施工安装滑动；采用大尺寸外置驱动电源，器件散热性能好；驱动不可徒手拆卸，保证安全；驱动电源置于灯体上居中对称，保证吊装安全稳固。须提供相关佐证材料。</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D8D22C1">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9盏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C1A01E5">
            <w:pPr>
              <w:keepNext w:val="0"/>
              <w:keepLines w:val="0"/>
              <w:widowControl/>
              <w:suppressLineNumbers w:val="0"/>
              <w:jc w:val="center"/>
              <w:textAlignment w:val="center"/>
              <w:rPr>
                <w:rFonts w:hint="default" w:ascii="微软雅黑" w:hAnsi="微软雅黑" w:eastAsia="微软雅黑" w:cs="微软雅黑"/>
                <w:i w:val="0"/>
                <w:iCs w:val="0"/>
                <w:color w:val="000000"/>
                <w:kern w:val="2"/>
                <w:sz w:val="20"/>
                <w:szCs w:val="20"/>
                <w:u w:val="none"/>
                <w:lang w:val="en-US" w:eastAsia="zh-CN" w:bidi="ar-SA"/>
              </w:rPr>
            </w:pPr>
            <w:r>
              <w:rPr>
                <w:rFonts w:hint="eastAsia" w:ascii="微软雅黑" w:hAnsi="微软雅黑" w:eastAsia="微软雅黑" w:cs="微软雅黑"/>
                <w:i w:val="0"/>
                <w:iCs w:val="0"/>
                <w:color w:val="000000"/>
                <w:kern w:val="0"/>
                <w:sz w:val="20"/>
                <w:szCs w:val="20"/>
                <w:u w:val="none"/>
                <w:lang w:val="en-US" w:eastAsia="zh-CN" w:bidi="ar"/>
              </w:rPr>
              <w:t>715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24C554C">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6435</w:t>
            </w:r>
          </w:p>
        </w:tc>
      </w:tr>
      <w:tr w14:paraId="23E49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502D9785">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color w:val="000000"/>
                <w:sz w:val="24"/>
                <w:lang w:val="en-US" w:eastAsia="zh-CN"/>
              </w:rPr>
            </w:pPr>
            <w:r>
              <w:rPr>
                <w:rFonts w:hint="eastAsia" w:ascii="微软雅黑" w:hAnsi="微软雅黑" w:eastAsia="微软雅黑" w:cs="微软雅黑"/>
                <w:b w:val="0"/>
                <w:bCs w:val="0"/>
                <w:color w:val="000000"/>
                <w:sz w:val="24"/>
                <w:lang w:val="en-US" w:eastAsia="zh-CN"/>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D8821DC">
            <w:pPr>
              <w:pStyle w:val="6"/>
              <w:keepNext w:val="0"/>
              <w:keepLines w:val="0"/>
              <w:pageBreakBefore w:val="0"/>
              <w:kinsoku/>
              <w:wordWrap/>
              <w:overflowPunct/>
              <w:topLinePunct w:val="0"/>
              <w:autoSpaceDE/>
              <w:autoSpaceDN/>
              <w:bidi w:val="0"/>
              <w:adjustRightInd/>
              <w:snapToGrid/>
              <w:spacing w:line="400" w:lineRule="exact"/>
              <w:jc w:val="center"/>
              <w:rPr>
                <w:rFonts w:cs="宋体" w:asciiTheme="minorEastAsia" w:hAnsiTheme="minorEastAsia"/>
                <w:sz w:val="21"/>
                <w:szCs w:val="21"/>
              </w:rPr>
            </w:pPr>
            <w:r>
              <w:rPr>
                <w:rFonts w:cs="宋体" w:asciiTheme="minorEastAsia" w:hAnsiTheme="minorEastAsia"/>
                <w:sz w:val="21"/>
                <w:szCs w:val="21"/>
              </w:rPr>
              <w:t>智慧面板</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411F76A">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1、输入电压：220V/50Hz。</w:t>
            </w:r>
          </w:p>
          <w:p w14:paraId="6FCE2C56">
            <w:pPr>
              <w:adjustRightInd w:val="0"/>
              <w:snapToGrid w:val="0"/>
              <w:rPr>
                <w:rFonts w:cs="宋体" w:asciiTheme="minorEastAsia" w:hAnsiTheme="minorEastAsia" w:eastAsiaTheme="minorEastAsia"/>
                <w:szCs w:val="21"/>
              </w:rPr>
            </w:pPr>
            <w:r>
              <w:rPr>
                <w:rFonts w:hint="eastAsia" w:cs="宋体" w:asciiTheme="minorEastAsia" w:hAnsiTheme="minorEastAsia" w:eastAsiaTheme="minorEastAsia"/>
                <w:szCs w:val="21"/>
              </w:rPr>
              <w:t>2、无线通讯协议：Zigbee3.0等，通讯频率：2.4GHz，通讯距离：≥30m（室内）。</w:t>
            </w:r>
          </w:p>
          <w:p w14:paraId="02C3660A">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3</w:t>
            </w:r>
            <w:r>
              <w:rPr>
                <w:rFonts w:hint="eastAsia" w:cs="宋体" w:asciiTheme="minorEastAsia" w:hAnsiTheme="minorEastAsia" w:eastAsiaTheme="minorEastAsia"/>
                <w:szCs w:val="21"/>
              </w:rPr>
              <w:t>、按键数量：≥6个，支持场景数量：≥4个（板书、投影、考试、放学等，满足不同教学场景需要）；按键功能：至少包含板书、投影、考试、放学、亮度+、亮度-等；支持亮度调节功能，能够实现同一网关下灯具的批量亮度调节；实现开关控制、智能控制。</w:t>
            </w:r>
          </w:p>
          <w:p w14:paraId="1D2E2F94">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4</w:t>
            </w:r>
            <w:r>
              <w:rPr>
                <w:rFonts w:hint="eastAsia" w:cs="宋体" w:asciiTheme="minorEastAsia" w:hAnsiTheme="minorEastAsia" w:eastAsiaTheme="minorEastAsia"/>
                <w:szCs w:val="21"/>
              </w:rPr>
              <w:t>、安装方式：86型场景面板，明盒/暗盒安装。</w:t>
            </w:r>
          </w:p>
          <w:p w14:paraId="38BEA472">
            <w:pPr>
              <w:adjustRightInd w:val="0"/>
              <w:snapToGrid w:val="0"/>
              <w:rPr>
                <w:rFonts w:cs="宋体" w:asciiTheme="minorEastAsia" w:hAnsiTheme="minorEastAsia" w:eastAsiaTheme="minorEastAsia"/>
                <w:szCs w:val="21"/>
              </w:rPr>
            </w:pPr>
            <w:r>
              <w:rPr>
                <w:rFonts w:cs="宋体" w:asciiTheme="minorEastAsia" w:hAnsiTheme="minorEastAsia" w:eastAsiaTheme="minorEastAsia"/>
                <w:szCs w:val="21"/>
              </w:rPr>
              <w:t>5</w:t>
            </w:r>
            <w:r>
              <w:rPr>
                <w:rFonts w:hint="eastAsia" w:cs="宋体" w:asciiTheme="minorEastAsia" w:hAnsiTheme="minorEastAsia" w:eastAsiaTheme="minorEastAsia"/>
                <w:szCs w:val="21"/>
              </w:rPr>
              <w:t>、工作温度：-10℃~45℃，工作湿度：≤80%。</w:t>
            </w:r>
          </w:p>
          <w:p w14:paraId="1035DAA6">
            <w:pPr>
              <w:pStyle w:val="2"/>
              <w:adjustRightInd w:val="0"/>
              <w:snapToGrid w:val="0"/>
              <w:rPr>
                <w:rFonts w:cs="宋体" w:asciiTheme="minorEastAsia" w:hAnsiTheme="minorEastAsia" w:eastAsiaTheme="minorEastAsia"/>
                <w:sz w:val="21"/>
                <w:szCs w:val="21"/>
              </w:rPr>
            </w:pPr>
            <w:r>
              <w:rPr>
                <w:rFonts w:cs="宋体" w:asciiTheme="minorEastAsia" w:hAnsiTheme="minorEastAsia" w:eastAsiaTheme="minorEastAsia"/>
                <w:sz w:val="21"/>
                <w:szCs w:val="21"/>
              </w:rPr>
              <w:t>6</w:t>
            </w:r>
            <w:r>
              <w:rPr>
                <w:rFonts w:hint="eastAsia" w:cs="宋体" w:asciiTheme="minorEastAsia" w:hAnsiTheme="minorEastAsia" w:eastAsiaTheme="minorEastAsia"/>
                <w:sz w:val="21"/>
                <w:szCs w:val="21"/>
              </w:rPr>
              <w:t>、支持动态指示灯功能，实时显示当前操作，支持OTA（在线升级）远程升级功能。</w:t>
            </w:r>
          </w:p>
          <w:p w14:paraId="790C82F5">
            <w:pPr>
              <w:pStyle w:val="6"/>
              <w:keepNext w:val="0"/>
              <w:keepLines w:val="0"/>
              <w:pageBreakBefore w:val="0"/>
              <w:kinsoku/>
              <w:wordWrap/>
              <w:overflowPunct/>
              <w:topLinePunct w:val="0"/>
              <w:autoSpaceDE/>
              <w:autoSpaceDN/>
              <w:bidi w:val="0"/>
              <w:adjustRightInd/>
              <w:snapToGrid/>
              <w:spacing w:line="400" w:lineRule="exact"/>
              <w:jc w:val="both"/>
              <w:rPr>
                <w:rFonts w:cs="宋体" w:asciiTheme="minorEastAsia" w:hAnsiTheme="minorEastAsia"/>
                <w:sz w:val="21"/>
                <w:szCs w:val="21"/>
                <w:lang w:eastAsia="zh-CN"/>
              </w:rPr>
            </w:pPr>
            <w:r>
              <w:rPr>
                <w:rFonts w:hint="eastAsia" w:cs="宋体" w:asciiTheme="minorEastAsia" w:hAnsiTheme="minorEastAsia" w:eastAsiaTheme="minorEastAsia"/>
                <w:b/>
                <w:sz w:val="21"/>
                <w:szCs w:val="21"/>
              </w:rPr>
              <w:t>备注：序号1-序号</w:t>
            </w:r>
            <w:r>
              <w:rPr>
                <w:rFonts w:cs="宋体" w:asciiTheme="minorEastAsia" w:hAnsiTheme="minorEastAsia" w:eastAsiaTheme="minorEastAsia"/>
                <w:b/>
                <w:sz w:val="21"/>
                <w:szCs w:val="21"/>
              </w:rPr>
              <w:t>6</w:t>
            </w:r>
            <w:r>
              <w:rPr>
                <w:rFonts w:hint="eastAsia" w:cs="宋体" w:asciiTheme="minorEastAsia" w:hAnsiTheme="minorEastAsia" w:eastAsiaTheme="minorEastAsia"/>
                <w:b/>
                <w:sz w:val="21"/>
                <w:szCs w:val="21"/>
              </w:rPr>
              <w:t>须提供第三方检测机构出具的封面带有CMA标识的检测报告及检测报告编号在全国认证认可信息公共服务平台的查询截图</w:t>
            </w:r>
            <w:r>
              <w:rPr>
                <w:rFonts w:cs="宋体" w:asciiTheme="minorEastAsia" w:hAnsiTheme="minorEastAsia" w:eastAsiaTheme="minorEastAsia"/>
                <w:b/>
                <w:sz w:val="21"/>
                <w:szCs w:val="21"/>
              </w:rPr>
              <w:t>，</w:t>
            </w:r>
            <w:r>
              <w:rPr>
                <w:rFonts w:hint="eastAsia" w:cs="宋体" w:asciiTheme="minorEastAsia" w:hAnsiTheme="minorEastAsia" w:eastAsiaTheme="minorEastAsia"/>
                <w:b/>
                <w:sz w:val="21"/>
                <w:szCs w:val="21"/>
              </w:rPr>
              <w:t>同时提供报告所引用检测标准依据在中国合格评定国家认可委员会官网查询的检测能力范围证明</w:t>
            </w:r>
            <w:r>
              <w:rPr>
                <w:rFonts w:cs="宋体" w:asciiTheme="minorEastAsia" w:hAnsiTheme="minorEastAsia" w:eastAsiaTheme="minorEastAsia"/>
                <w:b/>
                <w:sz w:val="21"/>
                <w:szCs w:val="21"/>
              </w:rPr>
              <w:t>截图</w:t>
            </w:r>
            <w:r>
              <w:rPr>
                <w:rFonts w:hint="eastAsia" w:cs="宋体" w:asciiTheme="minorEastAsia" w:hAnsiTheme="minorEastAsia" w:eastAsiaTheme="minorEastAsia"/>
                <w:b/>
                <w:sz w:val="21"/>
                <w:szCs w:val="21"/>
              </w:rPr>
              <w:t>。</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428BC0A6">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3套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071661B4">
            <w:pPr>
              <w:keepNext w:val="0"/>
              <w:keepLines w:val="0"/>
              <w:widowControl/>
              <w:suppressLineNumbers w:val="0"/>
              <w:jc w:val="center"/>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275</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9B479E6">
            <w:pPr>
              <w:keepNext w:val="0"/>
              <w:keepLines w:val="0"/>
              <w:widowControl/>
              <w:suppressLineNumbers w:val="0"/>
              <w:jc w:val="right"/>
              <w:textAlignment w:val="center"/>
              <w:rPr>
                <w:rFonts w:hint="default" w:ascii="微软雅黑" w:hAnsi="微软雅黑" w:eastAsia="微软雅黑" w:cs="微软雅黑"/>
                <w:i w:val="0"/>
                <w:iCs w:val="0"/>
                <w:color w:val="000000"/>
                <w:kern w:val="0"/>
                <w:sz w:val="20"/>
                <w:szCs w:val="20"/>
                <w:u w:val="none"/>
                <w:lang w:val="en-US" w:eastAsia="zh-CN" w:bidi="ar"/>
              </w:rPr>
            </w:pPr>
            <w:r>
              <w:rPr>
                <w:rFonts w:hint="eastAsia" w:ascii="微软雅黑" w:hAnsi="微软雅黑" w:eastAsia="微软雅黑" w:cs="微软雅黑"/>
                <w:i w:val="0"/>
                <w:iCs w:val="0"/>
                <w:color w:val="000000"/>
                <w:kern w:val="0"/>
                <w:sz w:val="20"/>
                <w:szCs w:val="20"/>
                <w:u w:val="none"/>
                <w:lang w:val="en-US" w:eastAsia="zh-CN" w:bidi="ar"/>
              </w:rPr>
              <w:t>825</w:t>
            </w:r>
          </w:p>
        </w:tc>
      </w:tr>
      <w:tr w14:paraId="77C50E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EE9A4E9">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color w:val="000000"/>
                <w:sz w:val="21"/>
                <w:lang w:val="en-US" w:eastAsia="zh-CN"/>
              </w:rPr>
            </w:pPr>
            <w:r>
              <w:rPr>
                <w:rFonts w:hint="eastAsia" w:ascii="微软雅黑" w:hAnsi="微软雅黑" w:eastAsia="微软雅黑" w:cs="微软雅黑"/>
                <w:b w:val="0"/>
                <w:bCs w:val="0"/>
                <w:color w:val="000000"/>
                <w:sz w:val="21"/>
                <w:lang w:val="en-US" w:eastAsia="zh-CN"/>
              </w:rPr>
              <w:t>5</w:t>
            </w:r>
          </w:p>
          <w:p w14:paraId="2B876089">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color w:val="000000"/>
                <w:sz w:val="21"/>
                <w:lang w:val="en-US" w:eastAsia="zh-CN"/>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67B36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拆除旧LED人工人费</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443923D">
            <w:pPr>
              <w:pStyle w:val="3"/>
              <w:keepNext w:val="0"/>
              <w:keepLines w:val="0"/>
              <w:pageBreakBefore w:val="0"/>
              <w:kinsoku/>
              <w:wordWrap/>
              <w:overflowPunct/>
              <w:topLinePunct w:val="0"/>
              <w:autoSpaceDE/>
              <w:autoSpaceDN/>
              <w:bidi w:val="0"/>
              <w:adjustRightInd/>
              <w:snapToGrid/>
              <w:spacing w:after="0" w:afterLines="0" w:line="400" w:lineRule="exact"/>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拆除班级原先旧的LED灯管，整理好，搬运至校方规定地点存放</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CF95B23">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42盏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21B12F62">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10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1DC99D7">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420</w:t>
            </w:r>
          </w:p>
        </w:tc>
      </w:tr>
      <w:tr w14:paraId="3D1C4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D0E0C19">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color w:val="000000"/>
                <w:sz w:val="21"/>
                <w:lang w:val="en-US" w:eastAsia="zh-CN"/>
              </w:rPr>
            </w:pPr>
            <w:r>
              <w:rPr>
                <w:rFonts w:hint="eastAsia" w:ascii="微软雅黑" w:hAnsi="微软雅黑" w:eastAsia="微软雅黑" w:cs="微软雅黑"/>
                <w:b w:val="0"/>
                <w:bCs w:val="0"/>
                <w:color w:val="000000"/>
                <w:sz w:val="21"/>
                <w:lang w:val="en-US" w:eastAsia="zh-CN"/>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01D98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安装新的护眼灯</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5116B233">
            <w:pPr>
              <w:pStyle w:val="3"/>
              <w:keepNext w:val="0"/>
              <w:keepLines w:val="0"/>
              <w:pageBreakBefore w:val="0"/>
              <w:kinsoku/>
              <w:wordWrap/>
              <w:overflowPunct/>
              <w:topLinePunct w:val="0"/>
              <w:autoSpaceDE/>
              <w:autoSpaceDN/>
              <w:bidi w:val="0"/>
              <w:adjustRightInd/>
              <w:snapToGrid/>
              <w:spacing w:after="0" w:afterLines="0" w:line="400" w:lineRule="exact"/>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打膨胀，安装，调试</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FF35BAC">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45盏</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8B12E89">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40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D767B09">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1800</w:t>
            </w:r>
          </w:p>
        </w:tc>
      </w:tr>
      <w:tr w14:paraId="43E1B0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8DB8412">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color w:val="000000"/>
                <w:sz w:val="21"/>
                <w:lang w:val="en-US" w:eastAsia="zh-CN"/>
              </w:rPr>
            </w:pPr>
            <w:r>
              <w:rPr>
                <w:rFonts w:hint="eastAsia" w:ascii="微软雅黑" w:hAnsi="微软雅黑" w:eastAsia="微软雅黑" w:cs="微软雅黑"/>
                <w:b w:val="0"/>
                <w:bCs w:val="0"/>
                <w:color w:val="000000"/>
                <w:sz w:val="21"/>
                <w:lang w:val="en-US" w:eastAsia="zh-CN"/>
              </w:rPr>
              <w:t>7</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8FD89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辅材</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37BC56FB">
            <w:pPr>
              <w:pStyle w:val="3"/>
              <w:keepNext w:val="0"/>
              <w:keepLines w:val="0"/>
              <w:pageBreakBefore w:val="0"/>
              <w:kinsoku/>
              <w:wordWrap/>
              <w:overflowPunct/>
              <w:topLinePunct w:val="0"/>
              <w:autoSpaceDE/>
              <w:autoSpaceDN/>
              <w:bidi w:val="0"/>
              <w:adjustRightInd/>
              <w:snapToGrid/>
              <w:spacing w:after="0" w:afterLines="0" w:line="400" w:lineRule="exact"/>
              <w:rPr>
                <w:rFonts w:hint="eastAsia"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安装配配件吊杆、挂板、开口销、硅胶圈、伞头自攻十字螺丝、装饰盖电工胶带、线卡、线槽、电线</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6A991602">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1批</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7A8F52D0">
            <w:pPr>
              <w:keepNext w:val="0"/>
              <w:keepLines w:val="0"/>
              <w:widowControl/>
              <w:suppressLineNumbers w:val="0"/>
              <w:jc w:val="center"/>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430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51D2D5D3">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430</w:t>
            </w:r>
          </w:p>
        </w:tc>
      </w:tr>
      <w:tr w14:paraId="0B0921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17A14A4C">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color w:val="000000"/>
                <w:sz w:val="21"/>
                <w:lang w:val="en-US" w:eastAsia="zh-CN"/>
              </w:rPr>
            </w:pPr>
            <w:r>
              <w:rPr>
                <w:rFonts w:hint="eastAsia" w:ascii="微软雅黑" w:hAnsi="微软雅黑" w:eastAsia="微软雅黑" w:cs="微软雅黑"/>
                <w:b w:val="0"/>
                <w:bCs w:val="0"/>
                <w:color w:val="000000"/>
                <w:sz w:val="21"/>
                <w:lang w:val="en-US" w:eastAsia="zh-CN"/>
              </w:rPr>
              <w:t>8</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139FF1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租脚手架</w:t>
            </w:r>
          </w:p>
        </w:tc>
        <w:tc>
          <w:tcPr>
            <w:tcW w:w="585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top"/>
          </w:tcPr>
          <w:p w14:paraId="0B122470">
            <w:pPr>
              <w:pStyle w:val="3"/>
              <w:keepNext w:val="0"/>
              <w:keepLines w:val="0"/>
              <w:pageBreakBefore w:val="0"/>
              <w:kinsoku/>
              <w:wordWrap/>
              <w:overflowPunct/>
              <w:topLinePunct w:val="0"/>
              <w:autoSpaceDE/>
              <w:autoSpaceDN/>
              <w:bidi w:val="0"/>
              <w:adjustRightInd/>
              <w:snapToGrid/>
              <w:spacing w:after="0" w:afterLines="0" w:line="400" w:lineRule="exact"/>
              <w:rPr>
                <w:rFonts w:hint="default" w:ascii="微软雅黑" w:hAnsi="微软雅黑" w:eastAsia="微软雅黑" w:cs="微软雅黑"/>
                <w:b w:val="0"/>
                <w:bCs w:val="0"/>
                <w:color w:val="auto"/>
                <w:sz w:val="21"/>
                <w:szCs w:val="21"/>
                <w:highlight w:val="none"/>
                <w:lang w:val="en-US" w:eastAsia="zh-CN"/>
              </w:rPr>
            </w:pPr>
            <w:r>
              <w:rPr>
                <w:rFonts w:hint="eastAsia" w:ascii="微软雅黑" w:hAnsi="微软雅黑" w:eastAsia="微软雅黑" w:cs="微软雅黑"/>
                <w:b w:val="0"/>
                <w:bCs w:val="0"/>
                <w:color w:val="auto"/>
                <w:sz w:val="21"/>
                <w:szCs w:val="21"/>
                <w:highlight w:val="none"/>
                <w:lang w:val="en-US" w:eastAsia="zh-CN"/>
              </w:rPr>
              <w:t>需租3层脚手架，需搬运至2层，5层</w:t>
            </w:r>
          </w:p>
        </w:tc>
        <w:tc>
          <w:tcPr>
            <w:tcW w:w="79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14:paraId="35D545C7">
            <w:pPr>
              <w:pStyle w:val="6"/>
              <w:keepNext w:val="0"/>
              <w:keepLines w:val="0"/>
              <w:pageBreakBefore w:val="0"/>
              <w:kinsoku/>
              <w:wordWrap/>
              <w:overflowPunct/>
              <w:topLinePunct w:val="0"/>
              <w:autoSpaceDE/>
              <w:autoSpaceDN/>
              <w:bidi w:val="0"/>
              <w:adjustRightInd/>
              <w:snapToGrid/>
              <w:spacing w:line="400" w:lineRule="exact"/>
              <w:jc w:val="center"/>
              <w:rPr>
                <w:rFonts w:hint="default" w:ascii="微软雅黑" w:hAnsi="微软雅黑" w:eastAsia="微软雅黑" w:cs="微软雅黑"/>
                <w:b w:val="0"/>
                <w:bCs w:val="0"/>
                <w:lang w:val="en-US" w:eastAsia="zh-CN"/>
              </w:rPr>
            </w:pPr>
            <w:r>
              <w:rPr>
                <w:rFonts w:hint="eastAsia" w:ascii="微软雅黑" w:hAnsi="微软雅黑" w:eastAsia="微软雅黑" w:cs="微软雅黑"/>
                <w:b w:val="0"/>
                <w:bCs w:val="0"/>
                <w:lang w:val="en-US" w:eastAsia="zh-CN"/>
              </w:rPr>
              <w:t>1套</w:t>
            </w:r>
          </w:p>
        </w:tc>
        <w:tc>
          <w:tcPr>
            <w:tcW w:w="72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65E1F554">
            <w:pPr>
              <w:keepNext w:val="0"/>
              <w:keepLines w:val="0"/>
              <w:widowControl/>
              <w:suppressLineNumbers w:val="0"/>
              <w:jc w:val="center"/>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350</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0" w:type="dxa"/>
              <w:left w:w="105" w:type="dxa"/>
              <w:bottom w:w="0" w:type="dxa"/>
              <w:right w:w="105" w:type="dxa"/>
            </w:tcMar>
            <w:vAlign w:val="center"/>
          </w:tcPr>
          <w:p w14:paraId="443085C1">
            <w:pPr>
              <w:keepNext w:val="0"/>
              <w:keepLines w:val="0"/>
              <w:widowControl/>
              <w:suppressLineNumbers w:val="0"/>
              <w:jc w:val="right"/>
              <w:textAlignment w:val="center"/>
              <w:rPr>
                <w:rFonts w:hint="default" w:ascii="微软雅黑" w:hAnsi="微软雅黑" w:eastAsia="微软雅黑" w:cs="微软雅黑"/>
                <w:b w:val="0"/>
                <w:bCs w:val="0"/>
                <w:kern w:val="0"/>
                <w:sz w:val="20"/>
                <w:szCs w:val="20"/>
                <w:lang w:val="en-US" w:eastAsia="zh-CN"/>
              </w:rPr>
            </w:pPr>
            <w:r>
              <w:rPr>
                <w:rFonts w:hint="eastAsia" w:ascii="微软雅黑" w:hAnsi="微软雅黑" w:eastAsia="微软雅黑" w:cs="微软雅黑"/>
                <w:b w:val="0"/>
                <w:bCs w:val="0"/>
                <w:kern w:val="0"/>
                <w:sz w:val="20"/>
                <w:szCs w:val="20"/>
                <w:lang w:val="en-US" w:eastAsia="zh-CN"/>
              </w:rPr>
              <w:t>350</w:t>
            </w:r>
          </w:p>
        </w:tc>
      </w:tr>
      <w:tr w14:paraId="156366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0" w:type="dxa"/>
          </w:tcPr>
          <w:p w14:paraId="109F4F92">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lang w:val="en-US" w:eastAsia="zh-CN"/>
              </w:rPr>
            </w:pPr>
          </w:p>
        </w:tc>
        <w:tc>
          <w:tcPr>
            <w:tcW w:w="1020" w:type="dxa"/>
          </w:tcPr>
          <w:p w14:paraId="0076FA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微软雅黑" w:hAnsi="微软雅黑" w:eastAsia="微软雅黑" w:cs="微软雅黑"/>
                <w:b w:val="0"/>
                <w:bCs w:val="0"/>
                <w:i w:val="0"/>
                <w:iCs w:val="0"/>
                <w:color w:val="000000"/>
                <w:kern w:val="0"/>
                <w:sz w:val="21"/>
                <w:szCs w:val="21"/>
                <w:u w:val="none"/>
                <w:lang w:val="en-US" w:eastAsia="zh-CN" w:bidi="ar"/>
              </w:rPr>
            </w:pPr>
            <w:r>
              <w:rPr>
                <w:rFonts w:hint="eastAsia" w:ascii="微软雅黑" w:hAnsi="微软雅黑" w:eastAsia="微软雅黑" w:cs="微软雅黑"/>
                <w:b w:val="0"/>
                <w:bCs w:val="0"/>
                <w:i w:val="0"/>
                <w:iCs w:val="0"/>
                <w:color w:val="000000"/>
                <w:kern w:val="0"/>
                <w:sz w:val="21"/>
                <w:szCs w:val="21"/>
                <w:u w:val="none"/>
                <w:lang w:val="en-US" w:eastAsia="zh-CN" w:bidi="ar"/>
              </w:rPr>
              <w:t>合计</w:t>
            </w:r>
          </w:p>
        </w:tc>
        <w:tc>
          <w:tcPr>
            <w:tcW w:w="5850" w:type="dxa"/>
          </w:tcPr>
          <w:p w14:paraId="57BFD26E">
            <w:pPr>
              <w:pStyle w:val="3"/>
              <w:keepNext w:val="0"/>
              <w:keepLines w:val="0"/>
              <w:pageBreakBefore w:val="0"/>
              <w:kinsoku/>
              <w:wordWrap/>
              <w:overflowPunct/>
              <w:topLinePunct w:val="0"/>
              <w:autoSpaceDE/>
              <w:autoSpaceDN/>
              <w:bidi w:val="0"/>
              <w:adjustRightInd/>
              <w:snapToGrid/>
              <w:spacing w:after="0" w:afterLines="0" w:line="400" w:lineRule="exact"/>
              <w:rPr>
                <w:rFonts w:hint="eastAsia" w:ascii="微软雅黑" w:hAnsi="微软雅黑" w:eastAsia="微软雅黑" w:cs="微软雅黑"/>
                <w:b w:val="0"/>
                <w:bCs w:val="0"/>
                <w:color w:val="auto"/>
                <w:kern w:val="2"/>
                <w:sz w:val="21"/>
                <w:szCs w:val="21"/>
                <w:highlight w:val="none"/>
                <w:lang w:val="en-US" w:eastAsia="zh-CN" w:bidi="ar-SA"/>
              </w:rPr>
            </w:pPr>
          </w:p>
        </w:tc>
        <w:tc>
          <w:tcPr>
            <w:tcW w:w="795" w:type="dxa"/>
          </w:tcPr>
          <w:p w14:paraId="7AFC228A">
            <w:pPr>
              <w:pStyle w:val="6"/>
              <w:keepNext w:val="0"/>
              <w:keepLines w:val="0"/>
              <w:pageBreakBefore w:val="0"/>
              <w:kinsoku/>
              <w:wordWrap/>
              <w:overflowPunct/>
              <w:topLinePunct w:val="0"/>
              <w:autoSpaceDE/>
              <w:autoSpaceDN/>
              <w:bidi w:val="0"/>
              <w:adjustRightInd/>
              <w:snapToGrid/>
              <w:spacing w:line="400" w:lineRule="exact"/>
              <w:jc w:val="center"/>
              <w:rPr>
                <w:rFonts w:hint="eastAsia" w:ascii="微软雅黑" w:hAnsi="微软雅黑" w:eastAsia="微软雅黑" w:cs="微软雅黑"/>
                <w:b w:val="0"/>
                <w:bCs w:val="0"/>
              </w:rPr>
            </w:pPr>
          </w:p>
        </w:tc>
        <w:tc>
          <w:tcPr>
            <w:tcW w:w="720" w:type="dxa"/>
            <w:shd w:val="clear" w:color="auto" w:fill="auto"/>
            <w:vAlign w:val="center"/>
          </w:tcPr>
          <w:p w14:paraId="692B6433">
            <w:pPr>
              <w:rPr>
                <w:rFonts w:hint="eastAsia" w:ascii="宋体" w:hAnsi="宋体" w:eastAsia="宋体" w:cs="宋体"/>
                <w:i w:val="0"/>
                <w:iCs w:val="0"/>
                <w:color w:val="000000"/>
                <w:kern w:val="2"/>
                <w:sz w:val="22"/>
                <w:szCs w:val="22"/>
                <w:u w:val="none"/>
                <w:lang w:val="en-US" w:eastAsia="zh-CN" w:bidi="ar-SA"/>
              </w:rPr>
            </w:pPr>
          </w:p>
        </w:tc>
        <w:tc>
          <w:tcPr>
            <w:tcW w:w="900" w:type="dxa"/>
            <w:shd w:val="clear" w:color="auto" w:fill="auto"/>
            <w:vAlign w:val="center"/>
          </w:tcPr>
          <w:p w14:paraId="355C76E9">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微软雅黑" w:hAnsi="微软雅黑" w:eastAsia="微软雅黑" w:cs="微软雅黑"/>
                <w:b w:val="0"/>
                <w:bCs w:val="0"/>
                <w:kern w:val="0"/>
                <w:sz w:val="20"/>
                <w:szCs w:val="20"/>
                <w:lang w:val="en-US" w:eastAsia="zh-CN"/>
              </w:rPr>
              <w:t>36000</w:t>
            </w:r>
          </w:p>
        </w:tc>
      </w:tr>
    </w:tbl>
    <w:p w14:paraId="20EBCFEC">
      <w:pPr>
        <w:rPr>
          <w:rFonts w:hint="eastAsia" w:ascii="微软雅黑" w:hAnsi="微软雅黑" w:eastAsia="微软雅黑" w:cs="微软雅黑"/>
          <w:b w:val="0"/>
          <w:bCs w:val="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kNTA4NjAzZGQyOWI2MTBmOTU4MDc0Nzc4NmVhNTkifQ=="/>
  </w:docVars>
  <w:rsids>
    <w:rsidRoot w:val="28D87897"/>
    <w:rsid w:val="11980F27"/>
    <w:rsid w:val="1C2C2570"/>
    <w:rsid w:val="271103D7"/>
    <w:rsid w:val="279B2E21"/>
    <w:rsid w:val="28640EA9"/>
    <w:rsid w:val="28D87897"/>
    <w:rsid w:val="2C547B61"/>
    <w:rsid w:val="4A905452"/>
    <w:rsid w:val="642072D8"/>
    <w:rsid w:val="76D3570C"/>
    <w:rsid w:val="7FC85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rPr>
  </w:style>
  <w:style w:type="paragraph" w:styleId="3">
    <w:name w:val="Body Text"/>
    <w:basedOn w:val="1"/>
    <w:next w:val="1"/>
    <w:qFormat/>
    <w:uiPriority w:val="0"/>
    <w:pPr>
      <w:spacing w:after="120" w:afterLines="0" w:afterAutospacing="0"/>
    </w:p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2747</Words>
  <Characters>3309</Characters>
  <Lines>0</Lines>
  <Paragraphs>0</Paragraphs>
  <TotalTime>15</TotalTime>
  <ScaleCrop>false</ScaleCrop>
  <LinksUpToDate>false</LinksUpToDate>
  <CharactersWithSpaces>3329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2024-09-20T02:24:00Z</dcterms:created>
  <dc:creator>admin</dc:creator>
  <cp:lastModifiedBy>安妮</cp:lastModifiedBy>
  <dcterms:modified xsi:type="dcterms:W3CDTF">2024-10-18T08:29:42Z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9E72B35890474881B2BA980ABCD860B8_13</vt:lpwstr>
  </property>
</Properties>
</file>